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29/12/2026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4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22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Đánh giá định kỳ 4.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Đánh giá định kỳ 4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Đánh giá định kỳ 4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