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25/09/2026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SỬ DỤNG BẢNG TÍNH GIẢI QUYẾT BÀI TOÁN THỰC TẾ</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Giải thích sự thay đổi địa chỉ tương đối khi sao chép công thức; phân biệt địa chỉ tương đối và tuyệt đối.</w:t>
      </w:r>
    </w:p>
    <w:p>
      <w:pPr>
        <w:spacing w:line="276" w:lineRule="auto" w:after="60" w:before="0"/>
        <w:ind w:firstLine="0" w:left="850"/>
        <w:jc w:val="both"/>
      </w:pPr>
      <w:r>
        <w:rPr>
          <w:rFonts w:ascii="Times New Roman" w:hAnsi="Times New Roman" w:eastAsia="Times New Roman"/>
          <w:b w:val="0"/>
          <w:i w:val="0"/>
          <w:sz w:val="26"/>
        </w:rPr>
        <w:t>- Sử dụng bảng tính giải quyết bài toán thực tế; sao chép dữ liệu từ tệp văn bản/trang chiếu sang trang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5. Sử dụng bảng tính giải quyết bài toán thực tế.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Sử dụng bảng tính giải quyết bài toán thực tế.</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Sử dụng bảng tính giải quyết bài toán thực tế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Sử dụng bảng tính giải quyết bài toán thực tế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