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13/03/2027</w:t>
            </w:r>
          </w:p>
          <w:p>
            <w:pPr>
              <w:spacing w:line="360" w:lineRule="auto" w:after="40"/>
              <w:jc w:val="left"/>
            </w:pPr>
            <w:r>
              <w:rPr>
                <w:rFonts w:ascii="Times New Roman" w:hAnsi="Times New Roman" w:eastAsia="Times New Roman"/>
                <w:b w:val="0"/>
                <w:i w:val="0"/>
                <w:sz w:val="26"/>
              </w:rPr>
              <w:t>Ngày dạy: 18/03/2027</w:t>
            </w:r>
          </w:p>
          <w:p>
            <w:pPr>
              <w:spacing w:line="360" w:lineRule="auto" w:after="40"/>
              <w:jc w:val="left"/>
            </w:pPr>
            <w:r>
              <w:rPr>
                <w:rFonts w:ascii="Times New Roman" w:hAnsi="Times New Roman" w:eastAsia="Times New Roman"/>
                <w:b w:val="0"/>
                <w:i w:val="0"/>
                <w:sz w:val="26"/>
              </w:rPr>
              <w:t>Lớp: TT3</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ROBOT VƯỢT MÊ CUNG (Tiết: 32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Kết hợp hướng và trình tự.</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Robot vượt mê cung.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Robot vượt mê cung.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Robot vượt mê cung.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Robot vượt mê cung.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