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20/02/2027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3 (Tiết: 29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Đánh giá định kỳ 3.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Đánh giá định kỳ 3,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