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15/08/2026</w:t>
            </w:r>
          </w:p>
          <w:p>
            <w:pPr>
              <w:spacing w:line="360" w:lineRule="auto" w:after="40"/>
              <w:jc w:val="left"/>
            </w:pPr>
            <w:r>
              <w:rPr>
                <w:rFonts w:ascii="Times New Roman" w:hAnsi="Times New Roman" w:eastAsia="Times New Roman"/>
                <w:b w:val="0"/>
                <w:i w:val="0"/>
                <w:sz w:val="26"/>
              </w:rPr>
              <w:t>Ngày dạy: 18/08/2026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TIẾT 0: ĐỊNH HƯỚNG MÔN HỌC (Tiết: 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Giới thiệu tổng quan môn học Robotics, phương pháp học tập thực hành, quy trình làm việc nhóm, an toàn sử dụng thiết bị và nội quy phòng học bộ môn.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biết tên gọi, hình dạng, chức năng các chi tiết bộ kit OLLO Excel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Thực hiện lắp ráp đúng quy trình mô hình Tiết 0: Định hướng môn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Tiết 0: Định hướng môn học,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Tiết 0: Định hướng môn học.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