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04/12/2026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3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17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Đánh giá định kỳ 3.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Đánh giá định kỳ 3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Đánh giá định kỳ 3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