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15/08/2026   Ngày dạy: 21/08/2026</w:t>
      </w:r>
    </w:p>
    <w:p>
      <w:pPr>
        <w:spacing w:line="288" w:lineRule="auto" w:after="80"/>
        <w:jc w:val="center"/>
      </w:pPr>
      <w:r>
        <w:t>KẾ HOẠCH DẠY HỌC MÔN ROBOTICS - LỚP 4C1</w:t>
        <w:br/>
        <w:t>BỘ THIẾT BỊ: OLLO INITIATE</w:t>
        <w:br/>
        <w:t>BÀI: BÀI 2. HÀM RĂNG TRẮNG SÁNG</w:t>
        <w:br/>
        <w:t>(Thời lượng: 1 tiết | Tiết PPCT: 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cách chăm sóc răng miệng; lắp robot chải răng.</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 Hàm răng trắng sáng,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 Hàm răng trắng sáng,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 Hàm răng trắng sáng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 Hàm răng trắng sáng.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 Hàm răng trắng sáng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 Hàm răng trắng sáng.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 Hàm răng trắng sáng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 Hàm răng trắng sáng.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 Hàm răng trắng sáng.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