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20/02/2027</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27/02/2027</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2)</w:t>
      </w:r>
    </w:p>
    <w:p>
      <w:pPr>
        <w:spacing w:before="0" w:after="200" w:line="276" w:lineRule="auto"/>
        <w:jc w:val="center"/>
      </w:pPr>
      <w:r>
        <w:rPr>
          <w:rFonts w:ascii="Times New Roman" w:hAnsi="Times New Roman"/>
          <w:b/>
          <w:i w:val="0"/>
          <w:sz w:val="26"/>
        </w:rPr>
        <w:t>BÀI 6. CUỘC ĐUA KỲ THÚ TRÊN MẶT NƯỚC (Buổi 23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cấu tạo thuyền và nguyên lý khoa học giúp vật thể nổi trên mặt nước.</w:t>
      </w:r>
    </w:p>
    <w:p>
      <w:pPr>
        <w:spacing w:before="0" w:after="40" w:line="276" w:lineRule="auto"/>
        <w:ind w:left="360"/>
        <w:jc w:val="left"/>
      </w:pPr>
      <w:r>
        <w:rPr>
          <w:rFonts w:ascii="Times New Roman" w:hAnsi="Times New Roman"/>
          <w:b w:val="0"/>
          <w:i w:val="0"/>
          <w:sz w:val="26"/>
        </w:rPr>
        <w:t>+ Kỹ năng phân bổ trọng lượng đồng đều hai bên mạn thuyền giúp mô hình thăng bằng.</w:t>
      </w:r>
    </w:p>
    <w:p>
      <w:pPr>
        <w:spacing w:before="0" w:after="40" w:line="276" w:lineRule="auto"/>
        <w:ind w:left="360"/>
        <w:jc w:val="left"/>
      </w:pPr>
      <w:r>
        <w:rPr>
          <w:rFonts w:ascii="Times New Roman" w:hAnsi="Times New Roman"/>
          <w:b w:val="0"/>
          <w:i w:val="0"/>
          <w:sz w:val="26"/>
        </w:rPr>
        <w:t>+ Tinh thần đồng đội trong các cuộc thi đua thuyền và thể thao dưới nước.</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thuyền đua lướt sóng tốc độ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thuyền đua lướt sóng tốc độ,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các cuộc đua thuyền buồm, thuyền rồng và nguyên lý lực đẩy Ac-si-met giúp tàu nổi.</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các cuộc đua thuyền buồm, thuyền rồng và nguyên lý lực đẩy Ac-si-met giúp tàu nổi.</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các cuộc đua thuyền buồm, thuyền rồng và nguyên lý lực đẩy Ac-si-met giúp tàu nổi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thuyền đua lướt sóng tốc độ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thuyền đua lướt sóng tốc độ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các cuộc đua thuyền buồm, thuyền rồng và nguyên lý lực đẩy Ac-si-met giúp tàu nổi.</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chiếc thuyền đua với đáy chữ V lượn sóng, buồm/cánh gió và động cơ đẩy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chiếc thuyền đua với đáy chữ V lượn sóng, buồm/cánh gió và động cơ đẩy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kết cấu vỏ thuyền đối xứng, khoang kín phân bố trọng tâm đều.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kết cấu vỏ thuyền đối xứng, khoang kín phân bố trọng tâm đều.</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chiếc thuyền đua với đáy chữ V lượn sóng, buồm/cánh gió và động cơ đẩy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chiếc thuyền đua với đáy chữ V lượn sóng, buồm/cánh gió và động cơ đẩy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kết cấu vỏ thuyền đối xứng, khoang kín phân bố trọng tâm đều,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thuyền đua lướt sóng tốc độ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thuyền đua lướt sóng tốc độ,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thuyền đua lướt sóng tốc độ,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thuyền đua lướt sóng tốc độ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kết cấu vỏ thuyền đối xứng, khoang kín phân bố trọng tâm đều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