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02/03/2027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22. DỰ ÁN SÁNG TẠO ROBOT TỰ HÀNH (Tiết: 29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Quy trình thiết kế dự án sáng tạo robot tự hành.</w:t>
      </w:r>
    </w:p>
    <w:p>
      <w:pPr>
        <w:spacing w:line="319" w:lineRule="auto" w:after="60" w:before="0"/>
        <w:ind w:firstLine="0" w:left="850"/>
        <w:jc w:val="both"/>
      </w:pPr>
      <w:r>
        <w:rPr>
          <w:rFonts w:ascii="Times New Roman" w:hAnsi="Times New Roman" w:eastAsia="Times New Roman"/>
          <w:b w:val="0"/>
          <w:i w:val="0"/>
          <w:sz w:val="26"/>
        </w:rPr>
        <w:t>+ Lập sơ đồ khối chức năng và phân công nhiệm vụ nhóm.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22. Dự án sáng tạo robot tự hành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22. Dự án sáng tạo robot tự hành,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22. Dự án sáng tạo robot tự hành.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22. Dự án sáng tạo robot tự hành.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22. Dự án sáng tạo robot tự hành.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22. Dự án sáng tạo robot tự hành.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