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13/02/2027</w:t>
            </w:r>
          </w:p>
          <w:p>
            <w:pPr>
              <w:spacing w:line="276" w:lineRule="auto" w:after="40"/>
              <w:jc w:val="left"/>
            </w:pPr>
            <w:r>
              <w:rPr>
                <w:rFonts w:ascii="Times New Roman" w:hAnsi="Times New Roman" w:eastAsia="Times New Roman"/>
                <w:b w:val="0"/>
                <w:i w:val="0"/>
                <w:sz w:val="26"/>
              </w:rPr>
              <w:t>Ngày dạy: 16/02/2027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21. CƠ CHẾ KẸP GẮP VẬT THỂ</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nguyên lý cơ cấu tay gắp và lực kẹp an toàn; phối hợp động cơ bước và cảm biến lực.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21. Cơ chế kẹp gắp vật thể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21. Cơ chế kẹp gắp vật thể.</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21. Cơ chế kẹp gắp vật thể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21. Cơ chế kẹp gắp vật thể.</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21. Cơ chế kẹp gắp vật thể.</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21. Cơ chế kẹp gắp vật thể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21. Cơ chế kẹp gắp vật thể.</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21. Cơ chế kẹp gắp vật thể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