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11. BÀI TRÌNH CHIẾU CỦA EM (TIẾT 2)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Thực hành gõ tiêu đề và nội dung ngắn vào khung văn bản trên trang chiếu.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Biết cách lưu bài trình chiếu vào thư mục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11: Bài trình chiếu của em (Tiết 2).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11: Bài trình chiếu của em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11: Bài trình chiếu của em (Tiết 2).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11: Bài trình chiếu của em (Tiết 2).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