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28/11/2026</w:t>
            </w:r>
          </w:p>
          <w:p>
            <w:pPr>
              <w:spacing w:line="360" w:lineRule="auto" w:after="40"/>
              <w:jc w:val="left"/>
            </w:pPr>
            <w:r>
              <w:rPr>
                <w:rFonts w:ascii="Times New Roman" w:hAnsi="Times New Roman" w:eastAsia="Times New Roman"/>
                <w:b w:val="0"/>
                <w:i w:val="0"/>
                <w:sz w:val="26"/>
              </w:rPr>
              <w:t>Ngày dạy: 02/12/2026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ĐÁNH GIÁ ĐỊNH KỲ 2 (Tiết: 17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Hệ thống hóa kiến thức về quản lý tệp, thư mục, bản quyền phần mềm và kỹ năng tạo, định dạng bài trình chiếu cơ bản.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Ôn tập Đánh giá định kỳ 2. (Đạt được thông qua Hoạt động 2)</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Đánh giá định kỳ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