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14/11/2026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17/11/2026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7. THỰC HÀNH SOẠN THẢO VĂN BẢN (TIẾT 2) (Tiết: 16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hành hoàn thiện bài viết/tờ rơi quảng bá nét đẹp di tích lịch sử hoặc danh lam thắng cảnh quê hương đạt chuẩn thẩm mỹ.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7: Thực hành soạn thảo văn bản (Tiết 2).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7: Thực hành soạn thảo văn bản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7: Thực hành soạn thảo văn bản (Tiết 2).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7: Thực hành soạn thảo văn bản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