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20/02/2027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23/02/2027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13. CẤU TRÚC RẼ NHÁNH (TIẾT 2) (Tiết: 30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Thực hành sử dụng khối lệnh If... then và If... then... else trong Scratch để xử lý tình huống va chạm của nhân vật.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Phân tích vấn đề, xác định quy trình xử lý dữ liệu và giải quyết bài toán trong bài Bài 13: Cấu trúc rẽ nhánh (Tiết 2).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thành thạo các công cụ và phần mềm chuyên dụng để giải quyết nhiệm vụ bài học.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13: Cấu trúc rẽ nhánh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13: Cấu trúc rẽ nhánh (Tiết 2).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13: Cấu trúc rẽ nhánh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