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19/09/2026</w:t>
            </w:r>
          </w:p>
          <w:p>
            <w:pPr>
              <w:spacing w:line="276" w:lineRule="auto" w:after="40"/>
              <w:jc w:val="left"/>
            </w:pPr>
            <w:r>
              <w:rPr>
                <w:rFonts w:ascii="Times New Roman" w:hAnsi="Times New Roman" w:eastAsia="Times New Roman"/>
                <w:b w:val="0"/>
                <w:i w:val="0"/>
                <w:sz w:val="26"/>
              </w:rPr>
              <w:t>Ngày dạy: 25/09/2026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4. ĐẠO ĐỨC VÀ VĂN HÓA TRONG SỬ DỤNG CÔNG NGHỆ SỐ</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các quy định pháp luật và chuẩn mực đạo đức khi sử dụng công nghệ số; tôn trọng bản quyền phần mềm và quyền sở hữu trí tuệ.</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4. Đạo đức và văn hóa trong sử dụng công nghệ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4. Đạo đức và văn hóa trong sử dụng công nghệ số.</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4. Đạo đức và văn hóa trong sử dụng công nghệ số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4. Đạo đức và văn hóa trong sử dụng công nghệ số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