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22 (Từ ngày 28/12/2026 đến ngày 01/01/2027)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22 (Từ ngày 28/12/2026 đến ngày 01/01/2027)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