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34 (Từ ngày 22/03/2027 đến ngày 26/03/2027)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34 (Từ ngày 22/03/2027 đến ngày 26/03/2027)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