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CHỈ ĐƯỜNG CHO NHÂN VẬT</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15</w:t>
      </w:r>
    </w:p>
    <w:p>
      <w:pPr>
        <w:spacing w:line="276" w:lineRule="auto" w:after="60" w:before="0"/>
        <w:ind w:firstLine="0"/>
        <w:jc w:val="center"/>
      </w:pPr>
      <w:r>
        <w:rPr>
          <w:rFonts w:ascii="Times New Roman" w:hAnsi="Times New Roman" w:eastAsia="Times New Roman"/>
          <w:b/>
          <w:i w:val="0"/>
          <w:sz w:val="26"/>
        </w:rPr>
        <w:t>Tên tiết: Chỉ đường cho nhân vật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Chuỗi lệnh di chuyển.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Chỉ đường cho nhân vật.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Chỉ đường cho nhân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Chỉ đường cho nhân vật.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Chỉ đường cho nhân vật.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Chỉ đường cho nhân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Chỉ đường cho nhân vật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Chỉ đường cho nhân vật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Chỉ đường cho nhân vật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Chỉ đường cho nhân vật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