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18/01/2027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20/01/2027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NHÂN VẬT CHUYỂN ĐỘNG</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24</w:t>
      </w:r>
    </w:p>
    <w:p>
      <w:pPr>
        <w:spacing w:line="276" w:lineRule="auto" w:after="60" w:before="0"/>
        <w:ind w:firstLine="0"/>
        <w:jc w:val="center"/>
      </w:pPr>
      <w:r>
        <w:rPr>
          <w:rFonts w:ascii="Times New Roman" w:hAnsi="Times New Roman" w:eastAsia="Times New Roman"/>
          <w:b/>
          <w:i w:val="0"/>
          <w:sz w:val="26"/>
        </w:rPr>
        <w:t>Tên tiết: Nhân vật chuyển động</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 chuyển động theo lệnh.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Nhân vật chuyển động.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Nhân vật chuyển động.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Nhân vật chuyển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Nhân vật chuyển động.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Nhân vật chuyển động.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Nhân vật chuyển động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Nhân vật chuyển động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Nhân vật chuyển động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Nhân vật chuyển động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