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25/01/2027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27/01/2027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ÂM THANH VÀ LỜI KỂ</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25</w:t>
      </w:r>
    </w:p>
    <w:p>
      <w:pPr>
        <w:spacing w:line="276" w:lineRule="auto" w:after="60" w:before="0"/>
        <w:ind w:firstLine="0"/>
        <w:jc w:val="center"/>
      </w:pPr>
      <w:r>
        <w:rPr>
          <w:rFonts w:ascii="Times New Roman" w:hAnsi="Times New Roman" w:eastAsia="Times New Roman"/>
          <w:b/>
          <w:i w:val="0"/>
          <w:sz w:val="26"/>
        </w:rPr>
        <w:t>Tên tiết: Âm thanh và lời kể</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Thêm âm thanh phù hợp.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Âm thanh và lời kể.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Âm thanh và lời kể.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Âm thanh và lời kể.</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Âm thanh và lời kể.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Âm thanh và lời kể.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Âm thanh và lời kể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Âm thanh và lời kể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Âm thanh và lời kể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Âm thanh và lời kể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