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01/02/2027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03/02/2027</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DỰ ÁN: CÂU CHUYỆN SỐ</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26</w:t>
      </w:r>
    </w:p>
    <w:p>
      <w:pPr>
        <w:spacing w:line="276" w:lineRule="auto" w:after="60" w:before="0"/>
        <w:ind w:firstLine="0"/>
        <w:jc w:val="center"/>
      </w:pPr>
      <w:r>
        <w:rPr>
          <w:rFonts w:ascii="Times New Roman" w:hAnsi="Times New Roman" w:eastAsia="Times New Roman"/>
          <w:b/>
          <w:i w:val="0"/>
          <w:sz w:val="26"/>
        </w:rPr>
        <w:t>Tên tiết: Dự án: Câu chuyện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Tích hợp nhân vật, bối cảnh, chuyển động.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Dự án: Câu chuyện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Dự án: Câu chuyện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Dự án: Câu chuyện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Dự án: Câu chuyện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Dự án: Câu chuyện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Dự án: Câu chuyện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Dự án: Câu chuyện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Dự án: Câu chuyện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Dự án: Câu chuyện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