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04/01/2027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06/01/2027</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THIẾT KẾ NHÂN VẬT</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22</w:t>
      </w:r>
    </w:p>
    <w:p>
      <w:pPr>
        <w:spacing w:line="276" w:lineRule="auto" w:after="60" w:before="0"/>
        <w:ind w:firstLine="0"/>
        <w:jc w:val="center"/>
      </w:pPr>
      <w:r>
        <w:rPr>
          <w:rFonts w:ascii="Times New Roman" w:hAnsi="Times New Roman" w:eastAsia="Times New Roman"/>
          <w:b/>
          <w:i w:val="0"/>
          <w:sz w:val="26"/>
        </w:rPr>
        <w:t>Tên tiết: Thiết kế nhân vật</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Tạo nhân vật có vai trò.</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Thiết kế nhân vật.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1):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3.2. Tích hợp và tạo lập lại nội dung số – Bậc 1): Chọn được các cách sửa đổi, tinh chỉnh, cải thiện và tích hợp các mục đơn giản có nội dung và thông tin mới để tạo ra những nội dung và thông tin mới và độc đáo.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Thiết kế nhân vật.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Thiết kế nhân vật.</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Thiết kế nhân vật.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Thiết kế nhân vật.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Thiết kế nhân vật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Thiết kế nhân vật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Thiết kế nhân vật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Thiết kế nhân vật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