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18/01/2027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20/01/2027</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ANIMATION: CHUYỂN ĐỘNG</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24</w:t>
      </w:r>
    </w:p>
    <w:p>
      <w:pPr>
        <w:spacing w:line="276" w:lineRule="auto" w:after="60" w:before="0"/>
        <w:ind w:firstLine="0"/>
        <w:jc w:val="center"/>
      </w:pPr>
      <w:r>
        <w:rPr>
          <w:rFonts w:ascii="Times New Roman" w:hAnsi="Times New Roman" w:eastAsia="Times New Roman"/>
          <w:b/>
          <w:i w:val="0"/>
          <w:sz w:val="26"/>
        </w:rPr>
        <w:t>Tên tiết: Animation: chuyển động</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Điều khiển chuyển động theo kịch bản.</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Animation: chuyển động.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1):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3.2. Tích hợp và tạo lập lại nội dung số – Bậc 1): Chọn được các cách sửa đổi, tinh chỉnh, cải thiện và tích hợp các mục đơn giản có nội dung và thông tin mới để tạo ra những nội dung và thông tin mới và độc đáo.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Animation: chuyển động.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Animation: chuyển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Animation: chuyển động.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Animation: chuyển động.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Animation: chuyển động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Animation: chuyển động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Animation: chuyển động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Animation: chuyển động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