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25/01/2027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27/01/2027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TƯƠNG TÁC VÀ ÂM THANH</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25</w:t>
      </w:r>
    </w:p>
    <w:p>
      <w:pPr>
        <w:spacing w:line="276" w:lineRule="auto" w:after="60" w:before="0"/>
        <w:ind w:firstLine="0"/>
        <w:jc w:val="center"/>
      </w:pPr>
      <w:r>
        <w:rPr>
          <w:rFonts w:ascii="Times New Roman" w:hAnsi="Times New Roman" w:eastAsia="Times New Roman"/>
          <w:b/>
          <w:i w:val="0"/>
          <w:sz w:val="26"/>
        </w:rPr>
        <w:t>Tên tiết: Tương tác và âm thanh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Kết hợp âm thanh/tương tác.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Tương tác và âm thanh.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Tương tác và âm thanh.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Tương tác và âm thanh.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Tương tác và âm thanh.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Tương tác và âm thanh.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Tương tác và âm thanh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Tương tác và âm thanh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Tương tác và âm thanh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Tương tác và âm thanh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