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08/03/2027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10/03/2027</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LẬP TRÌNH ROBOT THEO NHIỆM VỤ</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31</w:t>
      </w:r>
    </w:p>
    <w:p>
      <w:pPr>
        <w:spacing w:line="276" w:lineRule="auto" w:after="60" w:before="0"/>
        <w:ind w:firstLine="0"/>
        <w:jc w:val="center"/>
      </w:pPr>
      <w:r>
        <w:rPr>
          <w:rFonts w:ascii="Times New Roman" w:hAnsi="Times New Roman" w:eastAsia="Times New Roman"/>
          <w:b/>
          <w:i w:val="0"/>
          <w:sz w:val="26"/>
        </w:rPr>
        <w:t>Tên tiết: Lập trình robot theo nhiệm vụ</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Chuỗi lệnh điều khiển robot.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Lập trình robot theo nhiệm vụ.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Lập trình robot theo nhiệm vụ.</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Lập trình robot theo nhiệm vụ.</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Lập trình robot theo nhiệm vụ.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Lập trình robot theo nhiệm vụ.</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Lập trình robot theo nhiệm vụ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Lập trình robot theo nhiệm vụ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Lập trình robot theo nhiệm vụ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Lập trình robot theo nhiệm vụ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