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15/03/2027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17/03/2027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GIẢI QUYẾT VẤN ĐỀ</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32</w:t>
      </w:r>
    </w:p>
    <w:p>
      <w:pPr>
        <w:spacing w:line="276" w:lineRule="auto" w:after="60" w:before="0"/>
        <w:ind w:firstLine="0"/>
        <w:jc w:val="center"/>
      </w:pPr>
      <w:r>
        <w:rPr>
          <w:rFonts w:ascii="Times New Roman" w:hAnsi="Times New Roman" w:eastAsia="Times New Roman"/>
          <w:b/>
          <w:i w:val="0"/>
          <w:sz w:val="26"/>
        </w:rPr>
        <w:t>Tên tiết: Robot giải quyết vấn đề</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Thử nghiệm, sửa đường đi/lệnh.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giải quyết vấn đề.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giải quyết vấn đề.</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giải quyết vấn đề.</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giải quyết vấn đề.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giải quyết vấn đề.</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giải quyết vấn đề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giải quyết vấn đề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giải quyết vấn đề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giải quyết vấn đề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