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14/12/2026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16/12/2026</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15: CẤU TRÚC RẼ NHÁNH</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19</w:t>
      </w:r>
    </w:p>
    <w:p>
      <w:pPr>
        <w:spacing w:line="276" w:lineRule="auto" w:after="60" w:before="0"/>
        <w:ind w:firstLine="0"/>
        <w:jc w:val="center"/>
      </w:pPr>
      <w:r>
        <w:rPr>
          <w:rFonts w:ascii="Times New Roman" w:hAnsi="Times New Roman" w:eastAsia="Times New Roman"/>
          <w:b/>
          <w:i w:val="0"/>
          <w:sz w:val="26"/>
        </w:rPr>
        <w:t>Tên tiết: Bài 15: Cấu trúc rẽ nhánh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Nêu ví dụ mô tả cấu trúc rẽ nhánh dạng thiếu và dạng đủ.  - Sử dụng lệnh rẽ nhánh (nếu... thì, nếu... thì... nếu không thì) trong Scratch..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15: Cấu trúc rẽ nhánh.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2): Xác định được các công cụ và công nghệ số đơn giản có thể được sử dụng để tạo ra kiến thức và đổi mới quy trình cũng như sản phẩm; Tuân theo quy trình nhận thức đơn giản của cá nhân và tập thể để hiểu và giải quyết các vấn đề khái niệm đơn giản và các tình huống có vấn đề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15: Cấu trúc rẽ nhánh.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15: Cấu trúc rẽ nhánh.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15: Cấu trúc rẽ nhánh.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15: Cấu trúc rẽ nhánh.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15: Cấu trúc rẽ nhánh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15: Cấu trúc rẽ nhánh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15: Cấu trúc rẽ nhánh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15: Cấu trúc rẽ nhánh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