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11/01/2027</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13/01/2027</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TỔNG KẾT NĂM HỌC</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23</w:t>
      </w:r>
    </w:p>
    <w:p>
      <w:pPr>
        <w:spacing w:line="276" w:lineRule="auto" w:after="60" w:before="0"/>
        <w:ind w:firstLine="0"/>
        <w:jc w:val="center"/>
      </w:pPr>
      <w:r>
        <w:rPr>
          <w:rFonts w:ascii="Times New Roman" w:hAnsi="Times New Roman" w:eastAsia="Times New Roman"/>
          <w:b/>
          <w:i w:val="0"/>
          <w:sz w:val="26"/>
        </w:rPr>
        <w:t>Tên tiết: Tổng kết năm học</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Tổng kết đánh giá kết quả học tập cả năm..</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Tổng kết năm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3): Giải thích được NLS của bản thân cần được cải thiện hoặc cập nhật ở đâu,; Chỉ ra được nơi để tìm kiếm các cơ hội được xác định rõ ràng để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Tổng kết năm học.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Tổng kết năm học.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Tổng kết năm học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Tổng kết năm học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Tổng kết năm học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Tổng kết năm học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