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9A. TẠO ĐẦU TRANG, CHÂN TRANG CHO VĂN BẢN</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Bài 9a. Tạo đầu trang, chân trang cho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thao tác đánh số trang, thêm đầu trang (Header) và chân trang (Footer) cho văn bản..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9a. Tạo đầu trang, chân trang cho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4): Chỉ ra được cách tạo và chỉnh sửa nội dung ở các định dạng khác nhau,; Thể hiện được bản thân thông qua việc tạo ra các nội dung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4): Sắp xếp được thông tin, dữ liệu, nội dung để dễ dàng lưu trữ và truy xuất; Tổ chức được thông tin, dữ liệu và nội dung trong một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9a. Tạo đầu trang, chân trang cho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9a. Tạo đầu trang, chân trang cho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9a. Tạo đầu trang, chân trang cho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9a. Tạo đầu trang, chân trang cho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9a. Tạo đầu trang, chân trang cho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9a. Tạo đầu trang, chân trang cho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9a. Tạo đầu trang, chân trang cho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9a. Tạo đầu trang, chân trang cho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