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VĂN HOÁ ỨNG XỬ TRÊN MẠNG</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7</w:t>
      </w:r>
    </w:p>
    <w:p>
      <w:pPr>
        <w:spacing w:line="276" w:lineRule="auto" w:after="60" w:before="0"/>
        <w:ind w:firstLine="0"/>
        <w:jc w:val="center"/>
      </w:pPr>
      <w:r>
        <w:rPr>
          <w:rFonts w:ascii="Times New Roman" w:hAnsi="Times New Roman" w:eastAsia="Times New Roman"/>
          <w:b/>
          <w:i w:val="0"/>
          <w:sz w:val="26"/>
        </w:rPr>
        <w:t>Tên tiết: Bài 5. Văn hoá ứng xử trên mạng</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Nhận biết các quy tắc văn hóa, đạo đức và pháp luật khi giao tiếp, chia sẻ thông tin trên không gian mạng..</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5. Văn hoá ứng xử trên mạng.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IV. An toàn (thành tố 4.2. Bảo vệ dữ liệu cá nhân và quyền riêng tư – Bậc 4): Thảo luận về cách bảo vệ dữ liệu cá nhân và quyền riêng tư trong môi trường số; Thảo luận về cách sử dụng và chia sẻ thông tin định danh cá nhân một cách an toàn.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 Giao tiếp và Hợp tác (thành tố 2.5. Quy tắc ứng xử trên mạng – Bậc 4): Thảo luận về các chuẩn mực hành vi và cách sử dụng công nghệ số và tương tác trong môi trường số; Thảo luận các chiến lược giao tiếp phù hợp trong môi trường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5. Văn hoá ứng xử trên mạng.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Văn hoá ứng xử trên mạng.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5. Văn hoá ứng xử trên mạng.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Văn hoá ứng xử trên mạng.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5. Văn hoá ứng xử trên mạng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5. Văn hoá ứng xử trên mạng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5. Văn hoá ứng xử trên mạng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5. Văn hoá ứng xử trên mạng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