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CHỮ, HÌNH VÀ ÂM THANH</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7</w:t>
      </w:r>
    </w:p>
    <w:p>
      <w:pPr>
        <w:spacing w:line="276" w:lineRule="auto" w:after="60" w:before="0"/>
        <w:ind w:firstLine="0"/>
        <w:jc w:val="center"/>
      </w:pPr>
      <w:r>
        <w:rPr>
          <w:rFonts w:ascii="Times New Roman" w:hAnsi="Times New Roman" w:eastAsia="Times New Roman"/>
          <w:b/>
          <w:i w:val="0"/>
          <w:sz w:val="26"/>
        </w:rPr>
        <w:t>Tên tiết: Chữ, hình và âm thanh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các dạng thông tin.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Chữ, hình và âm thanh.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Chữ, hình và âm thanh.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Chữ, hình và âm thanh.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Chữ, hình và âm thanh.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Chữ, hình và âm thanh.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Chữ, hình và âm thanh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Chữ, hình và âm thanh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Chữ, hình và âm thanh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Chữ, hình và âm thanh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