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TRÁI – PHẢI – TRƯỚC – SAU</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13</w:t>
      </w:r>
    </w:p>
    <w:p>
      <w:pPr>
        <w:spacing w:line="276" w:lineRule="auto" w:after="60" w:before="0"/>
        <w:ind w:firstLine="0"/>
        <w:jc w:val="center"/>
      </w:pPr>
      <w:r>
        <w:rPr>
          <w:rFonts w:ascii="Times New Roman" w:hAnsi="Times New Roman" w:eastAsia="Times New Roman"/>
          <w:b/>
          <w:i w:val="0"/>
          <w:sz w:val="26"/>
        </w:rPr>
        <w:t>Tên tiết: Trái – phải – trước – sau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Định hướng không gian.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Trái – phải – trước – sau.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Trái – phải – trước – sau.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Trái – phải – trước – sau.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Trái – phải – trước – sau.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Trái – phải – trước – sau.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Trái – phải – trước – sau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Trái – phải – trước – sau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Trái – phải – trước – sau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Trái – phải – trước – sau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