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11/01/2027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13/01/2027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NGÔI NHÀ VÀ KHU VƯỜN</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23</w:t>
      </w:r>
    </w:p>
    <w:p>
      <w:pPr>
        <w:spacing w:line="276" w:lineRule="auto" w:after="60" w:before="0"/>
        <w:ind w:firstLine="0"/>
        <w:jc w:val="center"/>
      </w:pPr>
      <w:r>
        <w:rPr>
          <w:rFonts w:ascii="Times New Roman" w:hAnsi="Times New Roman" w:eastAsia="Times New Roman"/>
          <w:b/>
          <w:i w:val="0"/>
          <w:sz w:val="26"/>
        </w:rPr>
        <w:t>Tên tiết: Ngôi nhà và khu vườn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bối cảnh.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Ngôi nhà và khu vườn.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Ngôi nhà và khu vườn.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Ngôi nhà và khu vườn.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Ngôi nhà và khu vườn.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Ngôi nhà và khu vườn.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Ngôi nhà và khu vườn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Ngôi nhà và khu vườn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Ngôi nhà và khu vườn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Ngôi nhà và khu vườn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