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15/02/2027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17/02/2027</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SÁNG TẠO SỐ</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28</w:t>
      </w:r>
    </w:p>
    <w:p>
      <w:pPr>
        <w:spacing w:line="276" w:lineRule="auto" w:after="60" w:before="0"/>
        <w:ind w:firstLine="0"/>
        <w:jc w:val="center"/>
      </w:pPr>
      <w:r>
        <w:rPr>
          <w:rFonts w:ascii="Times New Roman" w:hAnsi="Times New Roman" w:eastAsia="Times New Roman"/>
          <w:b/>
          <w:i w:val="0"/>
          <w:sz w:val="26"/>
        </w:rPr>
        <w:t>Tên tiết: Ôn tập sáng tạo số</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Hoàn thiện sản phẩm.</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sáng tạo số.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3.2. Tích hợp và tạo lập lại nội dung số – Bậc 1): Chọn được các cách sửa đổi, tinh chỉnh, cải thiện và tích hợp các mục đơn giản có nội dung và thông tin mới để tạo ra những nội dung và thông tin mới và độc đáo.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sáng tạo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sáng tạo số.</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sáng tạo số.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sáng tạo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sáng tạo số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sáng tạo số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sáng tạo số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sáng tạo số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