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08/03/2027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10/03/2027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ĐIỀU KHIỂN ROBOT</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31</w:t>
      </w:r>
    </w:p>
    <w:p>
      <w:pPr>
        <w:spacing w:line="276" w:lineRule="auto" w:after="60" w:before="0"/>
        <w:ind w:firstLine="0"/>
        <w:jc w:val="center"/>
      </w:pPr>
      <w:r>
        <w:rPr>
          <w:rFonts w:ascii="Times New Roman" w:hAnsi="Times New Roman" w:eastAsia="Times New Roman"/>
          <w:b/>
          <w:i w:val="0"/>
          <w:sz w:val="26"/>
        </w:rPr>
        <w:t>Tên tiết: Điều khiển Robot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lệnh đi tới/đến đích.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Điều khiển Robot.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Điều khiển Robot.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Điều khiển Robot.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Điều khiển Robot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Điều khiển Robot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Điều khiển Robot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Điều khiển Robot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