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15/03/2027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17/03/2027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VƯỢT MÊ CUNG</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32</w:t>
      </w:r>
    </w:p>
    <w:p>
      <w:pPr>
        <w:spacing w:line="276" w:lineRule="auto" w:after="60" w:before="0"/>
        <w:ind w:firstLine="0"/>
        <w:jc w:val="center"/>
      </w:pPr>
      <w:r>
        <w:rPr>
          <w:rFonts w:ascii="Times New Roman" w:hAnsi="Times New Roman" w:eastAsia="Times New Roman"/>
          <w:b/>
          <w:i w:val="0"/>
          <w:sz w:val="26"/>
        </w:rPr>
        <w:t>Tên tiết: Robot vượt mê cung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Kết hợp hướng và trình tự.</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vượt mê cung.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vượt mê cung.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vượt mê cung.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vượt mê cung.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vượt mê cung.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vượt mê cung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vượt mê cung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vượt mê cung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vượt mê cung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