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15/08/2026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20/08/2026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1A1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2. CHÚ CÚN DỄ THƯƠNG (Tiết: 2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Nhận biết đặc điểm loài chó.</w:t>
      </w:r>
    </w:p>
    <w:p>
      <w:pPr>
        <w:spacing w:line="276" w:lineRule="auto" w:after="60" w:before="0"/>
        <w:ind w:firstLine="709"/>
        <w:jc w:val="both"/>
      </w:pPr>
      <w:r>
        <w:rPr>
          <w:rFonts w:ascii="Times New Roman" w:hAnsi="Times New Roman" w:cs="Times New Roman" w:eastAsia="Times New Roman"/>
          <w:b w:val="0"/>
          <w:i w:val="0"/>
          <w:sz w:val="26"/>
        </w:rPr>
        <w:t>+ Lắp mô hình chú cún dễ thương.</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2. Chú cún dễ thương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 Chú cún dễ thương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2. Chú cún dễ thương.</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2. Chú cún dễ thương.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2. Chú cún dễ thương.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2. Chú cún dễ thương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 Chú cún dễ thương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