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03/09/2026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4. CHÚ ỐC SÊN CHẬM CHẠP (Tiết: 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cách di chuyển và cấu tạo vỏ ốc.</w:t>
      </w:r>
    </w:p>
    <w:p>
      <w:pPr>
        <w:spacing w:line="276" w:lineRule="auto" w:after="60" w:before="0"/>
        <w:ind w:firstLine="709"/>
        <w:jc w:val="both"/>
      </w:pPr>
      <w:r>
        <w:rPr>
          <w:rFonts w:ascii="Times New Roman" w:hAnsi="Times New Roman" w:cs="Times New Roman" w:eastAsia="Times New Roman"/>
          <w:b w:val="0"/>
          <w:i w:val="0"/>
          <w:sz w:val="26"/>
        </w:rPr>
        <w:t>+ Lắp robot ốc sên.</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4. Chú ốc sên chậm chạp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4. Chú ốc sên chậm chạp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4. Chú ốc sên chậm chạp.</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4. Chú ốc sên chậm chạp.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4. Chú ốc sên chậm chạp.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4. Chú ốc sên chậm chạp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4. Chú ốc sên chậm chạp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