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15/10/2026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8. THẾ GIỚI KHỦNG LONG (Tiết: 10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nguồn gốc khủng long.</w:t>
      </w:r>
    </w:p>
    <w:p>
      <w:pPr>
        <w:spacing w:line="276" w:lineRule="auto" w:after="60" w:before="0"/>
        <w:ind w:firstLine="709"/>
        <w:jc w:val="both"/>
      </w:pPr>
      <w:r>
        <w:rPr>
          <w:rFonts w:ascii="Times New Roman" w:hAnsi="Times New Roman" w:cs="Times New Roman" w:eastAsia="Times New Roman"/>
          <w:b w:val="0"/>
          <w:i w:val="0"/>
          <w:sz w:val="26"/>
        </w:rPr>
        <w:t>+ Lắp mô hình khủng long cử động.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8. Thế giới khủng long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8. Thế giới khủng long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8. Thế giới khủng long.</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8. Thế giới khủng long.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8. Thế giới khủng long.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8. Thế giới khủng long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8. Thế giới khủng long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