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17/10/2026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22/10/2026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9. HỒ BƠI MÙA HÈ (Tiết: 11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an toàn bơi lội.</w:t>
      </w:r>
    </w:p>
    <w:p>
      <w:pPr>
        <w:spacing w:line="276" w:lineRule="auto" w:after="60" w:before="0"/>
        <w:ind w:firstLine="709"/>
        <w:jc w:val="both"/>
      </w:pPr>
      <w:r>
        <w:rPr>
          <w:rFonts w:ascii="Times New Roman" w:hAnsi="Times New Roman" w:cs="Times New Roman" w:eastAsia="Times New Roman"/>
          <w:b w:val="0"/>
          <w:i w:val="0"/>
          <w:sz w:val="26"/>
        </w:rPr>
        <w:t>+ Lắp robot mô phỏng người bơi lội.</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9. Hồ bơi mùa hè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9. Hồ bơi mùa hè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9. Hồ bơi mùa hè.</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9. Hồ bơi mùa hè.</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9. Hồ bơi mùa hè.</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9. Hồ bơi mùa hè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9. Hồ bơi mùa hè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