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24/10/2026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29/10/2026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10. KHÁM PHÁ ĐẠI DƯƠNG (Tiết: 12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đặc điểm cá mập.</w:t>
      </w:r>
    </w:p>
    <w:p>
      <w:pPr>
        <w:spacing w:line="276" w:lineRule="auto" w:after="60" w:before="0"/>
        <w:ind w:firstLine="709"/>
        <w:jc w:val="both"/>
      </w:pPr>
      <w:r>
        <w:rPr>
          <w:rFonts w:ascii="Times New Roman" w:hAnsi="Times New Roman" w:cs="Times New Roman" w:eastAsia="Times New Roman"/>
          <w:b w:val="0"/>
          <w:i w:val="0"/>
          <w:sz w:val="26"/>
        </w:rPr>
        <w:t>+ Lắp mô hình cá mập săn mồi.</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10. Khám phá đại dương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10. Khám phá đại dương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10. Khám phá đại dương.</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10. Khám phá đại dương.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10. Khám phá đại dương.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10. Khám phá đại dương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10. Khám phá đại dương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