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31/10/2026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11. CHÚ CUA CỨNG CÁP (Tiết: 13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nguyên lý cua bò ngang.</w:t>
      </w:r>
    </w:p>
    <w:p>
      <w:pPr>
        <w:spacing w:line="276" w:lineRule="auto" w:after="60" w:before="0"/>
        <w:ind w:firstLine="709"/>
        <w:jc w:val="both"/>
      </w:pPr>
      <w:r>
        <w:rPr>
          <w:rFonts w:ascii="Times New Roman" w:hAnsi="Times New Roman" w:cs="Times New Roman" w:eastAsia="Times New Roman"/>
          <w:b w:val="0"/>
          <w:i w:val="0"/>
          <w:sz w:val="26"/>
        </w:rPr>
        <w:t>+ Lắp mô hình chú cua bò ngang.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11. Chú cua cứng cáp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11. Chú cua cứng cáp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11. Chú cua cứng cáp.</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11. Chú cua cứng cáp.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11. Chú cua cứng cáp.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11. Chú cua cứng cáp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Chú cua cứng cáp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