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12/11/2026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12. TÔI CÓ THỂ DI CHUYỂN ĐẾN BẤT CỨ ĐÂU (Tiết: 14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các loại phương tiện.</w:t>
      </w:r>
    </w:p>
    <w:p>
      <w:pPr>
        <w:spacing w:line="276" w:lineRule="auto" w:after="60" w:before="0"/>
        <w:ind w:firstLine="709"/>
        <w:jc w:val="both"/>
      </w:pPr>
      <w:r>
        <w:rPr>
          <w:rFonts w:ascii="Times New Roman" w:hAnsi="Times New Roman" w:cs="Times New Roman" w:eastAsia="Times New Roman"/>
          <w:b w:val="0"/>
          <w:i w:val="0"/>
          <w:sz w:val="26"/>
        </w:rPr>
        <w:t>+ Lắp robot di chuyển đa năng.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12. Tôi có thể di chuyển đến bất cứ đâu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12. Tôi có thể di chuyển đến bất cứ đâu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12. Tôi có thể di chuyển đến bất cứ đâu.</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12. Tôi có thể di chuyển đến bất cứ đâu.</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12. Tôi có thể di chuyển đến bất cứ đâu.</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12. Tôi có thể di chuyển đến bất cứ đâu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12. Tôi có thể di chuyển đến bất cứ đâu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