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13. HOẠT ĐỘNG MÙA HÈ (Tiết: 15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hoạt động ngày hè.</w:t>
      </w:r>
    </w:p>
    <w:p>
      <w:pPr>
        <w:spacing w:line="276" w:lineRule="auto" w:after="60" w:before="0"/>
        <w:ind w:firstLine="709"/>
        <w:jc w:val="both"/>
      </w:pPr>
      <w:r>
        <w:rPr>
          <w:rFonts w:ascii="Times New Roman" w:hAnsi="Times New Roman" w:cs="Times New Roman" w:eastAsia="Times New Roman"/>
          <w:b w:val="0"/>
          <w:i w:val="0"/>
          <w:sz w:val="26"/>
        </w:rPr>
        <w:t>+ Lắp mô hình người chèo thuyền kayak.</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Hoạt động mùa hè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Hoạt động mùa hè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13. Hoạt động mùa hè.</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13. Hoạt động mùa hè.</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13. Hoạt động mùa hè.</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13. Hoạt động mùa hè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Hoạt động mùa hè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