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26/11/2026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14. BẮT ĐẦU CHUYẾN HÀNH TRÌNH CÙNG TÀU HOẢ (Tiết: 16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hệ thống tàu hỏa.</w:t>
      </w:r>
    </w:p>
    <w:p>
      <w:pPr>
        <w:spacing w:line="276" w:lineRule="auto" w:after="60" w:before="0"/>
        <w:ind w:firstLine="709"/>
        <w:jc w:val="both"/>
      </w:pPr>
      <w:r>
        <w:rPr>
          <w:rFonts w:ascii="Times New Roman" w:hAnsi="Times New Roman" w:cs="Times New Roman" w:eastAsia="Times New Roman"/>
          <w:b w:val="0"/>
          <w:i w:val="0"/>
          <w:sz w:val="26"/>
        </w:rPr>
        <w:t>+ Lắp mô hình đoàn tàu chuyển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14. Bắt đầu chuyến hành trình cùng tàu hoả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14. Bắt đầu chuyến hành trình cùng tàu hoả.</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14. Bắt đầu chuyến hành trình cùng tàu hoả.</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14. Bắt đầu chuyến hành trình cùng tàu hoả.</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14. Bắt đầu chuyến hành trình cùng tàu hoả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Bắt đầu chuyến hành trình cùng tàu hoả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