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31/12/2026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17. MÁY BẮN ĐÁ KHỔNG LỒ (Tiết: 21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cấu đòn bẩy.</w:t>
      </w:r>
    </w:p>
    <w:p>
      <w:pPr>
        <w:spacing w:line="276" w:lineRule="auto" w:after="60" w:before="0"/>
        <w:ind w:firstLine="709"/>
        <w:jc w:val="both"/>
      </w:pPr>
      <w:r>
        <w:rPr>
          <w:rFonts w:ascii="Times New Roman" w:hAnsi="Times New Roman" w:cs="Times New Roman" w:eastAsia="Times New Roman"/>
          <w:b w:val="0"/>
          <w:i w:val="0"/>
          <w:sz w:val="26"/>
        </w:rPr>
        <w:t>+ Lắp mô hình máy bắn đá cổ đại.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17. Máy bắn đá khổng lồ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17. Máy bắn đá khổng lồ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17. Máy bắn đá khổng lồ.</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17. Máy bắn đá khổng lồ.</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17. Máy bắn đá khổng lồ.</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17. Máy bắn đá khổng lồ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17. Máy bắn đá khổng lồ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