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07/01/2027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18. TRÒ CHƠI DÂN GIAN (Tiết: 22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trò chơi dân gian truyền thống.</w:t>
      </w:r>
    </w:p>
    <w:p>
      <w:pPr>
        <w:spacing w:line="276" w:lineRule="auto" w:after="60" w:before="0"/>
        <w:ind w:firstLine="709"/>
        <w:jc w:val="both"/>
      </w:pPr>
      <w:r>
        <w:rPr>
          <w:rFonts w:ascii="Times New Roman" w:hAnsi="Times New Roman" w:cs="Times New Roman" w:eastAsia="Times New Roman"/>
          <w:b w:val="0"/>
          <w:i w:val="0"/>
          <w:sz w:val="26"/>
        </w:rPr>
        <w:t>+ Lắp mô hình trò chơi thú vị.</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18. Trò chơi dân gian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18. Trò chơi dân gian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18. Trò chơi dân gian.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18. Trò chơi dân gian.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18. Trò chơi dân gian.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18. Trò chơi dân gian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18. Trò chơi dân gian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