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09/01/2027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14/01/2027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19. KHÁM PHÁ TRÒ CHƠI TRUYỀN THỐNG CÁC NƯỚC (Tiết: 23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nét đẹp văn hóa truyền thống.</w:t>
      </w:r>
    </w:p>
    <w:p>
      <w:pPr>
        <w:spacing w:line="276" w:lineRule="auto" w:after="60" w:before="0"/>
        <w:ind w:firstLine="709"/>
        <w:jc w:val="both"/>
      </w:pPr>
      <w:r>
        <w:rPr>
          <w:rFonts w:ascii="Times New Roman" w:hAnsi="Times New Roman" w:cs="Times New Roman" w:eastAsia="Times New Roman"/>
          <w:b w:val="0"/>
          <w:i w:val="0"/>
          <w:sz w:val="26"/>
        </w:rPr>
        <w:t>+ Lắp robot trò chơi dân gian.</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19. Khám phá trò chơi truyền thống các nước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19. Khám phá trò chơi truyền thống các nước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19. Khám phá trò chơi truyền thống các nước.</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19. Khám phá trò chơi truyền thống các nước.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19. Khám phá trò chơi truyền thống các nước.</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19. Khám phá trò chơi truyền thống các nước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19. Khám phá trò chơi truyền thống các nước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