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26/08/2026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3. SỰ PHẢN XẠ ÁNH SÁNG (Tiết: 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phản xạ ánh sáng.</w:t>
      </w:r>
    </w:p>
    <w:p>
      <w:pPr>
        <w:spacing w:line="276" w:lineRule="auto" w:after="60" w:before="0"/>
        <w:ind w:firstLine="709"/>
        <w:jc w:val="both"/>
      </w:pPr>
      <w:r>
        <w:rPr>
          <w:rFonts w:ascii="Times New Roman" w:hAnsi="Times New Roman" w:cs="Times New Roman" w:eastAsia="Times New Roman"/>
          <w:b w:val="0"/>
          <w:i w:val="0"/>
          <w:sz w:val="26"/>
        </w:rPr>
        <w:t>+ Lắp mô hình kính tiềm vọng quang học.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Sự phản xạ ánh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Sự phản xạ ánh sáng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3. Sự phản xạ ánh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3. Sự phản xạ ánh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Sự phản xạ ánh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