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29/08/2026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02/09/2026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4. ĐÀN GÀ CON (Tiết: 4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tập tính đàn gà.</w:t>
      </w:r>
    </w:p>
    <w:p>
      <w:pPr>
        <w:spacing w:line="276" w:lineRule="auto" w:after="60" w:before="0"/>
        <w:ind w:firstLine="709"/>
        <w:jc w:val="both"/>
      </w:pPr>
      <w:r>
        <w:rPr>
          <w:rFonts w:ascii="Times New Roman" w:hAnsi="Times New Roman" w:cs="Times New Roman" w:eastAsia="Times New Roman"/>
          <w:b w:val="0"/>
          <w:i w:val="0"/>
          <w:sz w:val="26"/>
        </w:rPr>
        <w:t>+ Lắp mô hình gà mẹ dẫn gà con mổ thóc.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4. Đàn gà con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4. Đàn gà con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4. Đàn gà con.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4. Đàn gà con.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4. Đàn gà con.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4. Đàn gà con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4. Đàn gà con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